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3801" w14:textId="77777777" w:rsidR="005B6D05" w:rsidRPr="009C04BE" w:rsidRDefault="005B6D05" w:rsidP="005B6D05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</w:pPr>
      <w:r w:rsidRPr="009C04BE">
        <w:rPr>
          <w:rFonts w:ascii="Times New Roman" w:eastAsia="Times New Roman" w:hAnsi="Times New Roman" w:cs="Times New Roman"/>
          <w:b/>
          <w:bCs/>
          <w:kern w:val="28"/>
          <w:sz w:val="40"/>
          <w:szCs w:val="40"/>
        </w:rPr>
        <w:t>CLENDENIN VOLUNTEER FIRE DEPARTMENT</w:t>
      </w:r>
    </w:p>
    <w:p w14:paraId="0F7745FF" w14:textId="77777777" w:rsidR="005B6D05" w:rsidRPr="009C04BE" w:rsidRDefault="005B6D05" w:rsidP="005B6D05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9C04BE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  <w:t xml:space="preserve">STANDARD OPERATING GUIDLINE </w:t>
      </w:r>
    </w:p>
    <w:p w14:paraId="6DC513FC" w14:textId="77777777" w:rsidR="005B6D05" w:rsidRPr="009C04BE" w:rsidRDefault="005B6D05" w:rsidP="005B6D05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3C9CAE45" w14:textId="77777777" w:rsidR="005B6D05" w:rsidRPr="009C04BE" w:rsidRDefault="005B6D05" w:rsidP="005B6D05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</w:p>
    <w:p w14:paraId="61D67357" w14:textId="09710BF7" w:rsidR="005B6D05" w:rsidRPr="002E52E9" w:rsidRDefault="005B6D05" w:rsidP="005B6D05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9C04BE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Subject: </w:t>
      </w:r>
      <w:r w:rsidR="002E52E9" w:rsidRPr="002E52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Knox Rapid Entry System</w:t>
      </w:r>
      <w:r w:rsidRPr="002E52E9">
        <w:rPr>
          <w:rFonts w:ascii="Times New Roman" w:eastAsia="Times New Roman" w:hAnsi="Times New Roman" w:cs="Times New Roman"/>
          <w:b/>
          <w:bCs/>
          <w:color w:val="000000" w:themeColor="text1"/>
          <w:kern w:val="28"/>
          <w:sz w:val="28"/>
          <w:szCs w:val="28"/>
        </w:rPr>
        <w:t xml:space="preserve"> </w:t>
      </w:r>
    </w:p>
    <w:p w14:paraId="7B13CE7B" w14:textId="77777777" w:rsidR="005B6D05" w:rsidRDefault="005B6D05" w:rsidP="005B6D05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1C88F8B3" w14:textId="38289924" w:rsidR="00864155" w:rsidRPr="00676F76" w:rsidRDefault="005B6D05" w:rsidP="00676F76">
      <w:pPr>
        <w:widowControl w:val="0"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Policy: </w:t>
      </w:r>
    </w:p>
    <w:p w14:paraId="256DC8CF" w14:textId="377719F1" w:rsidR="00864155" w:rsidRPr="00197481" w:rsidRDefault="00385326" w:rsidP="00864155">
      <w:pPr>
        <w:pStyle w:val="p1"/>
        <w:rPr>
          <w:sz w:val="24"/>
          <w:szCs w:val="24"/>
        </w:rPr>
      </w:pPr>
      <w:r>
        <w:rPr>
          <w:sz w:val="24"/>
          <w:szCs w:val="24"/>
        </w:rPr>
        <w:t>Clendenin Volunteer Fire Department</w:t>
      </w:r>
      <w:r w:rsidR="00864155" w:rsidRPr="00197481">
        <w:rPr>
          <w:sz w:val="24"/>
          <w:szCs w:val="24"/>
        </w:rPr>
        <w:t xml:space="preserve"> has adopted the Knox Rapid Entry System (KRES) as its standard system for</w:t>
      </w:r>
      <w:r>
        <w:rPr>
          <w:sz w:val="24"/>
          <w:szCs w:val="24"/>
        </w:rPr>
        <w:t xml:space="preserve"> </w:t>
      </w:r>
      <w:r w:rsidR="00864155" w:rsidRPr="00197481">
        <w:rPr>
          <w:sz w:val="24"/>
          <w:szCs w:val="24"/>
        </w:rPr>
        <w:t>fire department key boxes</w:t>
      </w:r>
      <w:r>
        <w:rPr>
          <w:sz w:val="24"/>
          <w:szCs w:val="24"/>
        </w:rPr>
        <w:t xml:space="preserve">. </w:t>
      </w:r>
      <w:r w:rsidR="00864155" w:rsidRPr="00197481">
        <w:rPr>
          <w:sz w:val="24"/>
          <w:szCs w:val="24"/>
        </w:rPr>
        <w:t>KRES products may be required to protect fire department connections or provide fire</w:t>
      </w:r>
    </w:p>
    <w:p w14:paraId="7FBD62C5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department access and control of electric gate openers.</w:t>
      </w:r>
    </w:p>
    <w:p w14:paraId="375DEC7A" w14:textId="77777777" w:rsidR="00E04A71" w:rsidRDefault="00E04A71" w:rsidP="00864155">
      <w:pPr>
        <w:pStyle w:val="p1"/>
        <w:rPr>
          <w:sz w:val="24"/>
          <w:szCs w:val="24"/>
        </w:rPr>
      </w:pPr>
    </w:p>
    <w:p w14:paraId="1F831AE7" w14:textId="1333700A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Key Boxes: When required</w:t>
      </w:r>
    </w:p>
    <w:p w14:paraId="03ABC2A6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Fire department key boxes shall be required whenever:</w:t>
      </w:r>
    </w:p>
    <w:p w14:paraId="6F570CA7" w14:textId="0B506A01" w:rsidR="00864155" w:rsidRPr="00197481" w:rsidRDefault="00864155" w:rsidP="003C1647">
      <w:pPr>
        <w:pStyle w:val="p1"/>
        <w:numPr>
          <w:ilvl w:val="0"/>
          <w:numId w:val="2"/>
        </w:numPr>
        <w:rPr>
          <w:sz w:val="24"/>
          <w:szCs w:val="24"/>
        </w:rPr>
      </w:pPr>
      <w:r w:rsidRPr="00197481">
        <w:rPr>
          <w:sz w:val="24"/>
          <w:szCs w:val="24"/>
        </w:rPr>
        <w:t xml:space="preserve">A </w:t>
      </w:r>
      <w:r w:rsidR="003C1647">
        <w:rPr>
          <w:sz w:val="24"/>
          <w:szCs w:val="24"/>
        </w:rPr>
        <w:t>b</w:t>
      </w:r>
      <w:r w:rsidRPr="00197481">
        <w:rPr>
          <w:sz w:val="24"/>
          <w:szCs w:val="24"/>
        </w:rPr>
        <w:t xml:space="preserve">uilding </w:t>
      </w:r>
      <w:r w:rsidR="007D1E8B">
        <w:rPr>
          <w:sz w:val="24"/>
          <w:szCs w:val="24"/>
        </w:rPr>
        <w:t>has</w:t>
      </w:r>
      <w:r w:rsidRPr="00197481">
        <w:rPr>
          <w:sz w:val="24"/>
          <w:szCs w:val="24"/>
        </w:rPr>
        <w:t xml:space="preserve"> a fire alarm system or fire sprinkler </w:t>
      </w:r>
      <w:r w:rsidR="00E04A71" w:rsidRPr="00197481">
        <w:rPr>
          <w:sz w:val="24"/>
          <w:szCs w:val="24"/>
        </w:rPr>
        <w:t>system.</w:t>
      </w:r>
    </w:p>
    <w:p w14:paraId="760093AB" w14:textId="3D59AE43" w:rsidR="003C1647" w:rsidRDefault="00864155" w:rsidP="003C1647">
      <w:pPr>
        <w:pStyle w:val="p1"/>
        <w:numPr>
          <w:ilvl w:val="0"/>
          <w:numId w:val="2"/>
        </w:numPr>
        <w:rPr>
          <w:sz w:val="24"/>
          <w:szCs w:val="24"/>
        </w:rPr>
      </w:pPr>
      <w:r w:rsidRPr="00197481">
        <w:rPr>
          <w:sz w:val="24"/>
          <w:szCs w:val="24"/>
        </w:rPr>
        <w:t xml:space="preserve">A building </w:t>
      </w:r>
      <w:r w:rsidR="007D1E8B">
        <w:rPr>
          <w:sz w:val="24"/>
          <w:szCs w:val="24"/>
        </w:rPr>
        <w:t>has</w:t>
      </w:r>
      <w:r w:rsidRPr="00197481">
        <w:rPr>
          <w:sz w:val="24"/>
          <w:szCs w:val="24"/>
        </w:rPr>
        <w:t xml:space="preserve"> an elevator</w:t>
      </w:r>
    </w:p>
    <w:p w14:paraId="7FEAA7B0" w14:textId="75557DBD" w:rsidR="003C1647" w:rsidRPr="0078548C" w:rsidRDefault="007D1E8B" w:rsidP="00864155">
      <w:pPr>
        <w:pStyle w:val="p1"/>
        <w:numPr>
          <w:ilvl w:val="0"/>
          <w:numId w:val="2"/>
        </w:numPr>
        <w:rPr>
          <w:sz w:val="24"/>
          <w:szCs w:val="24"/>
        </w:rPr>
      </w:pPr>
      <w:r>
        <w:rPr>
          <w:color w:val="383838"/>
          <w:sz w:val="23"/>
          <w:szCs w:val="23"/>
        </w:rPr>
        <w:t xml:space="preserve">A </w:t>
      </w:r>
      <w:r w:rsidR="00BF0C00" w:rsidRPr="00BF0C00">
        <w:rPr>
          <w:color w:val="383838"/>
          <w:sz w:val="24"/>
          <w:szCs w:val="24"/>
        </w:rPr>
        <w:t>commercial business</w:t>
      </w:r>
      <w:r w:rsidR="003C1647" w:rsidRPr="00BF0C00">
        <w:rPr>
          <w:color w:val="383838"/>
          <w:sz w:val="24"/>
          <w:szCs w:val="24"/>
        </w:rPr>
        <w:t xml:space="preserve"> that use, store, manufacture or process on site hazardous materials that must be reported under Title III of the Federal Super Fund Amendments</w:t>
      </w:r>
    </w:p>
    <w:p w14:paraId="28A1072A" w14:textId="5F2BE9DF" w:rsidR="0078548C" w:rsidRPr="0078548C" w:rsidRDefault="00D463A5" w:rsidP="0078548C">
      <w:pPr>
        <w:numPr>
          <w:ilvl w:val="0"/>
          <w:numId w:val="2"/>
        </w:numPr>
        <w:spacing w:before="100" w:beforeAutospacing="1" w:after="84"/>
        <w:rPr>
          <w:rFonts w:ascii="Times New Roman" w:eastAsia="Times New Roman" w:hAnsi="Times New Roman" w:cs="Times New Roman"/>
          <w:color w:val="383838"/>
        </w:rPr>
      </w:pPr>
      <w:r>
        <w:rPr>
          <w:rFonts w:ascii="Times New Roman" w:eastAsia="Times New Roman" w:hAnsi="Times New Roman" w:cs="Times New Roman"/>
          <w:color w:val="383838"/>
        </w:rPr>
        <w:t>A c</w:t>
      </w:r>
      <w:r w:rsidR="0078548C" w:rsidRPr="0078548C">
        <w:rPr>
          <w:rFonts w:ascii="Times New Roman" w:eastAsia="Times New Roman" w:hAnsi="Times New Roman" w:cs="Times New Roman"/>
          <w:color w:val="383838"/>
        </w:rPr>
        <w:t>ommercial business, Restaurant, Church, and healthcare facility</w:t>
      </w:r>
    </w:p>
    <w:p w14:paraId="21D5F83D" w14:textId="6B4FEBB0" w:rsidR="0078548C" w:rsidRPr="0078548C" w:rsidRDefault="0078548C" w:rsidP="0078548C">
      <w:pPr>
        <w:numPr>
          <w:ilvl w:val="0"/>
          <w:numId w:val="2"/>
        </w:numPr>
        <w:spacing w:before="100" w:beforeAutospacing="1" w:after="84"/>
        <w:rPr>
          <w:rFonts w:ascii="Times New Roman" w:eastAsia="Times New Roman" w:hAnsi="Times New Roman" w:cs="Times New Roman"/>
          <w:color w:val="383838"/>
        </w:rPr>
      </w:pPr>
      <w:r w:rsidRPr="0078548C">
        <w:rPr>
          <w:rFonts w:ascii="Times New Roman" w:eastAsia="Times New Roman" w:hAnsi="Times New Roman" w:cs="Times New Roman"/>
          <w:color w:val="383838"/>
        </w:rPr>
        <w:t xml:space="preserve">Apartment buildings </w:t>
      </w:r>
    </w:p>
    <w:p w14:paraId="389765A9" w14:textId="7CFA12B8" w:rsidR="00864155" w:rsidRPr="003C1647" w:rsidRDefault="00864155" w:rsidP="00864155">
      <w:pPr>
        <w:pStyle w:val="p1"/>
        <w:numPr>
          <w:ilvl w:val="0"/>
          <w:numId w:val="2"/>
        </w:numPr>
        <w:rPr>
          <w:sz w:val="24"/>
          <w:szCs w:val="24"/>
        </w:rPr>
      </w:pPr>
      <w:r w:rsidRPr="003C1647">
        <w:rPr>
          <w:sz w:val="24"/>
          <w:szCs w:val="24"/>
        </w:rPr>
        <w:t>A building has unreasonable delays for fire department access as determined by</w:t>
      </w:r>
      <w:r w:rsidR="003C1647">
        <w:rPr>
          <w:sz w:val="24"/>
          <w:szCs w:val="24"/>
        </w:rPr>
        <w:t xml:space="preserve"> </w:t>
      </w:r>
      <w:r w:rsidRPr="003C1647">
        <w:rPr>
          <w:sz w:val="24"/>
          <w:szCs w:val="24"/>
        </w:rPr>
        <w:t xml:space="preserve">the Fire </w:t>
      </w:r>
      <w:r w:rsidR="00B73691">
        <w:rPr>
          <w:sz w:val="24"/>
          <w:szCs w:val="24"/>
        </w:rPr>
        <w:t>Chief</w:t>
      </w:r>
      <w:r w:rsidRPr="003C1647">
        <w:rPr>
          <w:sz w:val="24"/>
          <w:szCs w:val="24"/>
        </w:rPr>
        <w:t xml:space="preserve"> or his/her designee</w:t>
      </w:r>
    </w:p>
    <w:p w14:paraId="4660CBBC" w14:textId="77777777" w:rsidR="006C5E04" w:rsidRDefault="006C5E04" w:rsidP="00864155">
      <w:pPr>
        <w:pStyle w:val="p1"/>
        <w:rPr>
          <w:sz w:val="24"/>
          <w:szCs w:val="24"/>
        </w:rPr>
      </w:pPr>
    </w:p>
    <w:p w14:paraId="60F6917B" w14:textId="1CAD7B52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Key Boxes: Size, Location, and Installation</w:t>
      </w:r>
    </w:p>
    <w:p w14:paraId="6E37FCDD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The provisions of this section are a minimum requirement that may be superseded during the</w:t>
      </w:r>
    </w:p>
    <w:p w14:paraId="74EC9AAD" w14:textId="2C65CBA1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 xml:space="preserve">comprehensive planning process. In some cases, the Fire </w:t>
      </w:r>
      <w:r w:rsidR="00740CCB">
        <w:rPr>
          <w:sz w:val="24"/>
          <w:szCs w:val="24"/>
        </w:rPr>
        <w:t>Chief</w:t>
      </w:r>
      <w:r w:rsidRPr="00197481">
        <w:rPr>
          <w:sz w:val="24"/>
          <w:szCs w:val="24"/>
        </w:rPr>
        <w:t xml:space="preserve"> or his/her designee may accept</w:t>
      </w:r>
    </w:p>
    <w:p w14:paraId="33F6CA5F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performance-based alternatives or require a greater level of building access for lifesaving or</w:t>
      </w:r>
    </w:p>
    <w:p w14:paraId="1DBE6B2A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firefighting purposes.</w:t>
      </w:r>
    </w:p>
    <w:p w14:paraId="3D2BBC58" w14:textId="77777777" w:rsidR="006C5E04" w:rsidRDefault="006C5E04" w:rsidP="00864155">
      <w:pPr>
        <w:pStyle w:val="p1"/>
        <w:rPr>
          <w:sz w:val="24"/>
          <w:szCs w:val="24"/>
        </w:rPr>
      </w:pPr>
    </w:p>
    <w:p w14:paraId="2D21FD21" w14:textId="0A74C810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The size of the required key box is dependent on building size and/or configuration:</w:t>
      </w:r>
    </w:p>
    <w:p w14:paraId="0BF8B0C9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Less than seven stories, less than 50,000 sq ft: Knox 3200 Series</w:t>
      </w:r>
    </w:p>
    <w:p w14:paraId="5EA2C1AB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Less than seven stories, greater than 50,000 sq ft: Knox 4400 Series</w:t>
      </w:r>
    </w:p>
    <w:p w14:paraId="0842EE6F" w14:textId="77777777" w:rsidR="009920BE" w:rsidRDefault="009920BE" w:rsidP="00864155">
      <w:pPr>
        <w:pStyle w:val="p1"/>
        <w:rPr>
          <w:rStyle w:val="s1"/>
          <w:rFonts w:ascii="Times New Roman" w:eastAsiaTheme="majorEastAsia" w:hAnsi="Times New Roman"/>
          <w:sz w:val="24"/>
          <w:szCs w:val="24"/>
        </w:rPr>
      </w:pPr>
    </w:p>
    <w:p w14:paraId="27F178CB" w14:textId="326C854F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All key boxes shall be of the hinged type; “lift-off” lids are not permitted.</w:t>
      </w:r>
    </w:p>
    <w:p w14:paraId="2026AD9A" w14:textId="77777777" w:rsidR="00C56AC3" w:rsidRDefault="00C56AC3" w:rsidP="00864155">
      <w:pPr>
        <w:pStyle w:val="p1"/>
        <w:rPr>
          <w:sz w:val="24"/>
          <w:szCs w:val="24"/>
        </w:rPr>
      </w:pPr>
    </w:p>
    <w:p w14:paraId="75B3CDD9" w14:textId="0BF70FD2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Key boxes shall be located at the main entrance to the building or other location approved by the</w:t>
      </w:r>
    </w:p>
    <w:p w14:paraId="0DECF053" w14:textId="594B4A6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 xml:space="preserve">Fire </w:t>
      </w:r>
      <w:r w:rsidR="00C56AC3">
        <w:rPr>
          <w:sz w:val="24"/>
          <w:szCs w:val="24"/>
        </w:rPr>
        <w:t>Chief</w:t>
      </w:r>
      <w:r w:rsidRPr="00197481">
        <w:rPr>
          <w:sz w:val="24"/>
          <w:szCs w:val="24"/>
        </w:rPr>
        <w:t xml:space="preserve"> or his/her designee. Key boxes are preferred to be at a height of six (6) feet above</w:t>
      </w:r>
    </w:p>
    <w:p w14:paraId="55CC689B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finished grade, but must be no lower than five (5) feet or no higher than six (6) feet above</w:t>
      </w:r>
    </w:p>
    <w:p w14:paraId="1DD5F4F4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finished grade. All measurements shall be to the centerline of the box.</w:t>
      </w:r>
    </w:p>
    <w:p w14:paraId="4A662A1B" w14:textId="77777777" w:rsidR="009920BE" w:rsidRDefault="009920BE" w:rsidP="00864155">
      <w:pPr>
        <w:pStyle w:val="p1"/>
        <w:rPr>
          <w:sz w:val="24"/>
          <w:szCs w:val="24"/>
        </w:rPr>
      </w:pPr>
    </w:p>
    <w:p w14:paraId="20B08F45" w14:textId="77777777" w:rsidR="009920BE" w:rsidRDefault="009920BE" w:rsidP="00864155">
      <w:pPr>
        <w:pStyle w:val="p1"/>
        <w:rPr>
          <w:sz w:val="24"/>
          <w:szCs w:val="24"/>
        </w:rPr>
      </w:pPr>
    </w:p>
    <w:p w14:paraId="135921F5" w14:textId="77777777" w:rsidR="00C56AC3" w:rsidRDefault="00C56AC3" w:rsidP="00864155">
      <w:pPr>
        <w:pStyle w:val="p1"/>
        <w:rPr>
          <w:sz w:val="24"/>
          <w:szCs w:val="24"/>
        </w:rPr>
      </w:pPr>
    </w:p>
    <w:p w14:paraId="60F77077" w14:textId="77777777" w:rsidR="00D67995" w:rsidRDefault="00D67995" w:rsidP="00864155">
      <w:pPr>
        <w:pStyle w:val="p1"/>
        <w:rPr>
          <w:sz w:val="24"/>
          <w:szCs w:val="24"/>
        </w:rPr>
      </w:pPr>
    </w:p>
    <w:p w14:paraId="3422E4AC" w14:textId="0FA26CDC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lastRenderedPageBreak/>
        <w:t>Key Boxes: Contents</w:t>
      </w:r>
    </w:p>
    <w:p w14:paraId="39AB5E85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Each key set must include:</w:t>
      </w:r>
    </w:p>
    <w:p w14:paraId="7E55EB74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Keys to provide access to all portions of the building</w:t>
      </w:r>
    </w:p>
    <w:p w14:paraId="4136CADC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One (1) electrical panel key</w:t>
      </w:r>
    </w:p>
    <w:p w14:paraId="6E112E37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If the building is equipped with a fire alarm system: One (1) fire alarm key</w:t>
      </w:r>
    </w:p>
    <w:p w14:paraId="2426DB15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If the building is equipped with an elevator: One (1) elevator key</w:t>
      </w:r>
    </w:p>
    <w:p w14:paraId="23EC45C5" w14:textId="77777777" w:rsidR="009920BE" w:rsidRDefault="009920BE" w:rsidP="00864155">
      <w:pPr>
        <w:pStyle w:val="p1"/>
        <w:rPr>
          <w:sz w:val="24"/>
          <w:szCs w:val="24"/>
        </w:rPr>
      </w:pPr>
    </w:p>
    <w:p w14:paraId="01AF8C13" w14:textId="4F4BA456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The following number of key sets shall be required based on the building size and/or</w:t>
      </w:r>
    </w:p>
    <w:p w14:paraId="469D6767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configuration:</w:t>
      </w:r>
    </w:p>
    <w:p w14:paraId="1F94C499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Single story, less than 50,000 sq ft: One set</w:t>
      </w:r>
    </w:p>
    <w:p w14:paraId="2946D476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Single story, greater than 50,000 sq ft: Three sets</w:t>
      </w:r>
    </w:p>
    <w:p w14:paraId="1D517328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Two to six stories, less than 50,000 sq ft: Two sets</w:t>
      </w:r>
    </w:p>
    <w:p w14:paraId="58BB9986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rStyle w:val="s1"/>
          <w:rFonts w:ascii="Times New Roman" w:eastAsiaTheme="majorEastAsia" w:hAnsi="Times New Roman"/>
          <w:sz w:val="24"/>
          <w:szCs w:val="24"/>
        </w:rPr>
        <w:sym w:font="Symbol" w:char="F0B7"/>
      </w:r>
      <w:r w:rsidRPr="00197481">
        <w:rPr>
          <w:rStyle w:val="s2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197481">
        <w:rPr>
          <w:sz w:val="24"/>
          <w:szCs w:val="24"/>
        </w:rPr>
        <w:t>Two to six stories, greater than 50,000 sq ft: Three sets</w:t>
      </w:r>
    </w:p>
    <w:p w14:paraId="5A994FBD" w14:textId="77777777" w:rsidR="009920BE" w:rsidRDefault="009920BE" w:rsidP="00864155">
      <w:pPr>
        <w:pStyle w:val="p1"/>
        <w:rPr>
          <w:rStyle w:val="s1"/>
          <w:rFonts w:ascii="Times New Roman" w:eastAsiaTheme="majorEastAsia" w:hAnsi="Times New Roman"/>
          <w:sz w:val="24"/>
          <w:szCs w:val="24"/>
        </w:rPr>
      </w:pPr>
    </w:p>
    <w:p w14:paraId="2FFD9B46" w14:textId="77E7E35A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 xml:space="preserve">The Fire </w:t>
      </w:r>
      <w:r w:rsidR="00167D02">
        <w:rPr>
          <w:sz w:val="24"/>
          <w:szCs w:val="24"/>
        </w:rPr>
        <w:t>chief</w:t>
      </w:r>
      <w:r w:rsidRPr="00197481">
        <w:rPr>
          <w:sz w:val="24"/>
          <w:szCs w:val="24"/>
        </w:rPr>
        <w:t xml:space="preserve"> or his/her designee may require a different number of key sets dependent on</w:t>
      </w:r>
    </w:p>
    <w:p w14:paraId="2F3A8DFE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the building size, configuration, or to provide a greater level of building access for lifesaving or</w:t>
      </w:r>
    </w:p>
    <w:p w14:paraId="746620A3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firefighting purposes.</w:t>
      </w:r>
    </w:p>
    <w:p w14:paraId="05414A3B" w14:textId="76A91D9C" w:rsidR="00331A7D" w:rsidRDefault="00331A7D" w:rsidP="00864155">
      <w:pPr>
        <w:pStyle w:val="p1"/>
        <w:rPr>
          <w:sz w:val="24"/>
          <w:szCs w:val="24"/>
        </w:rPr>
      </w:pPr>
    </w:p>
    <w:p w14:paraId="60BA135D" w14:textId="1C33AB5A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Fire Apparatus Access Roads: Gate Controls</w:t>
      </w:r>
    </w:p>
    <w:p w14:paraId="4BB10184" w14:textId="077844E8" w:rsidR="00FE78A8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This section shall be applicable to access control</w:t>
      </w:r>
      <w:r w:rsidR="00DF5AD4">
        <w:rPr>
          <w:sz w:val="24"/>
          <w:szCs w:val="24"/>
        </w:rPr>
        <w:t xml:space="preserve"> </w:t>
      </w:r>
      <w:r w:rsidRPr="00197481">
        <w:rPr>
          <w:sz w:val="24"/>
          <w:szCs w:val="24"/>
        </w:rPr>
        <w:t>systems for security gate</w:t>
      </w:r>
      <w:r w:rsidR="00DF5AD4">
        <w:rPr>
          <w:sz w:val="24"/>
          <w:szCs w:val="24"/>
        </w:rPr>
        <w:t>s</w:t>
      </w:r>
    </w:p>
    <w:p w14:paraId="1FC955B2" w14:textId="77777777" w:rsidR="00864155" w:rsidRPr="00197481" w:rsidRDefault="00864155" w:rsidP="0086415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>Where a security gate is installed in such a manner to obstruct a required Fire Apparatus Access</w:t>
      </w:r>
    </w:p>
    <w:p w14:paraId="670A04E0" w14:textId="76CE52FE" w:rsidR="004728E5" w:rsidRPr="00197481" w:rsidRDefault="00864155" w:rsidP="00D67995">
      <w:pPr>
        <w:pStyle w:val="p1"/>
        <w:rPr>
          <w:sz w:val="24"/>
          <w:szCs w:val="24"/>
        </w:rPr>
      </w:pPr>
      <w:r w:rsidRPr="00197481">
        <w:rPr>
          <w:sz w:val="24"/>
          <w:szCs w:val="24"/>
        </w:rPr>
        <w:t xml:space="preserve">Road, the gate must be provided with hardware that is compatible with the </w:t>
      </w:r>
      <w:r w:rsidR="00FE78A8">
        <w:rPr>
          <w:sz w:val="24"/>
          <w:szCs w:val="24"/>
        </w:rPr>
        <w:t>department</w:t>
      </w:r>
      <w:r w:rsidRPr="00197481">
        <w:rPr>
          <w:sz w:val="24"/>
          <w:szCs w:val="24"/>
        </w:rPr>
        <w:t xml:space="preserve"> KRES. If the</w:t>
      </w:r>
      <w:r w:rsidR="00FE78A8">
        <w:rPr>
          <w:sz w:val="24"/>
          <w:szCs w:val="24"/>
        </w:rPr>
        <w:t xml:space="preserve"> </w:t>
      </w:r>
      <w:r w:rsidRPr="00197481">
        <w:rPr>
          <w:sz w:val="24"/>
          <w:szCs w:val="24"/>
        </w:rPr>
        <w:t>gate is a manually operated gate, the gate must be equipped with a Knox 37</w:t>
      </w:r>
      <w:r w:rsidR="00D3205F">
        <w:rPr>
          <w:sz w:val="24"/>
          <w:szCs w:val="24"/>
        </w:rPr>
        <w:t xml:space="preserve">81, 3782, </w:t>
      </w:r>
      <w:r w:rsidR="00616B77">
        <w:rPr>
          <w:sz w:val="24"/>
          <w:szCs w:val="24"/>
        </w:rPr>
        <w:t xml:space="preserve">3783 </w:t>
      </w:r>
      <w:r w:rsidR="00616B77" w:rsidRPr="00197481">
        <w:rPr>
          <w:sz w:val="24"/>
          <w:szCs w:val="24"/>
        </w:rPr>
        <w:t>or</w:t>
      </w:r>
      <w:r w:rsidRPr="00197481">
        <w:rPr>
          <w:sz w:val="24"/>
          <w:szCs w:val="24"/>
        </w:rPr>
        <w:t xml:space="preserve"> 37</w:t>
      </w:r>
      <w:r w:rsidR="00657547">
        <w:rPr>
          <w:sz w:val="24"/>
          <w:szCs w:val="24"/>
        </w:rPr>
        <w:t>84</w:t>
      </w:r>
      <w:r w:rsidRPr="00197481">
        <w:rPr>
          <w:sz w:val="24"/>
          <w:szCs w:val="24"/>
        </w:rPr>
        <w:t xml:space="preserve"> serie</w:t>
      </w:r>
      <w:r w:rsidR="00657547">
        <w:rPr>
          <w:sz w:val="24"/>
          <w:szCs w:val="24"/>
        </w:rPr>
        <w:t xml:space="preserve">s </w:t>
      </w:r>
      <w:r w:rsidRPr="00197481">
        <w:rPr>
          <w:sz w:val="24"/>
          <w:szCs w:val="24"/>
        </w:rPr>
        <w:t>padlock. If the gate is automatically operated via an electrical or mechanical opener, the gate</w:t>
      </w:r>
      <w:r w:rsidR="00657547">
        <w:rPr>
          <w:sz w:val="24"/>
          <w:szCs w:val="24"/>
        </w:rPr>
        <w:t xml:space="preserve"> </w:t>
      </w:r>
      <w:r w:rsidRPr="00197481">
        <w:rPr>
          <w:sz w:val="24"/>
          <w:szCs w:val="24"/>
        </w:rPr>
        <w:t>must be equipped with a Knox 350</w:t>
      </w:r>
      <w:r w:rsidR="00616B77">
        <w:rPr>
          <w:sz w:val="24"/>
          <w:szCs w:val="24"/>
        </w:rPr>
        <w:t>2</w:t>
      </w:r>
      <w:r w:rsidRPr="00197481">
        <w:rPr>
          <w:sz w:val="24"/>
          <w:szCs w:val="24"/>
        </w:rPr>
        <w:t xml:space="preserve"> or 350</w:t>
      </w:r>
      <w:r w:rsidR="00616B77">
        <w:rPr>
          <w:sz w:val="24"/>
          <w:szCs w:val="24"/>
        </w:rPr>
        <w:t>3</w:t>
      </w:r>
      <w:r w:rsidRPr="00197481">
        <w:rPr>
          <w:sz w:val="24"/>
          <w:szCs w:val="24"/>
        </w:rPr>
        <w:t xml:space="preserve"> series electrical key switch that is configured to</w:t>
      </w:r>
      <w:r w:rsidR="00616B77">
        <w:rPr>
          <w:sz w:val="24"/>
          <w:szCs w:val="24"/>
        </w:rPr>
        <w:t xml:space="preserve"> </w:t>
      </w:r>
      <w:r w:rsidRPr="00197481">
        <w:rPr>
          <w:sz w:val="24"/>
          <w:szCs w:val="24"/>
        </w:rPr>
        <w:t>override the gate controller and hold the gate open for fire department access.</w:t>
      </w:r>
    </w:p>
    <w:sectPr w:rsidR="004728E5" w:rsidRPr="001974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D0CDF"/>
    <w:multiLevelType w:val="multilevel"/>
    <w:tmpl w:val="1122C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D420776"/>
    <w:multiLevelType w:val="hybridMultilevel"/>
    <w:tmpl w:val="82E2B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42761">
    <w:abstractNumId w:val="0"/>
  </w:num>
  <w:num w:numId="2" w16cid:durableId="669143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55"/>
    <w:rsid w:val="00167D02"/>
    <w:rsid w:val="00197481"/>
    <w:rsid w:val="002E52E9"/>
    <w:rsid w:val="00331A7D"/>
    <w:rsid w:val="00385326"/>
    <w:rsid w:val="003C1647"/>
    <w:rsid w:val="004728E5"/>
    <w:rsid w:val="005B6D05"/>
    <w:rsid w:val="00616B77"/>
    <w:rsid w:val="00657547"/>
    <w:rsid w:val="00676F76"/>
    <w:rsid w:val="006A7D95"/>
    <w:rsid w:val="006C5E04"/>
    <w:rsid w:val="00740CCB"/>
    <w:rsid w:val="0078548C"/>
    <w:rsid w:val="007D1E8B"/>
    <w:rsid w:val="00864155"/>
    <w:rsid w:val="00880281"/>
    <w:rsid w:val="009920BE"/>
    <w:rsid w:val="00B73691"/>
    <w:rsid w:val="00BF0C00"/>
    <w:rsid w:val="00C56AC3"/>
    <w:rsid w:val="00CA22B9"/>
    <w:rsid w:val="00D3205F"/>
    <w:rsid w:val="00D463A5"/>
    <w:rsid w:val="00D67995"/>
    <w:rsid w:val="00DF5AD4"/>
    <w:rsid w:val="00E04A71"/>
    <w:rsid w:val="00E2126B"/>
    <w:rsid w:val="00EC781F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ED6FCE"/>
  <w15:chartTrackingRefBased/>
  <w15:docId w15:val="{60B11CF7-CFC3-8248-A45F-0D298441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1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1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15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64155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s1">
    <w:name w:val="s1"/>
    <w:basedOn w:val="DefaultParagraphFont"/>
    <w:rsid w:val="00864155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86415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Clendenin</dc:creator>
  <cp:keywords/>
  <dc:description/>
  <cp:lastModifiedBy>Jacob Clendenin</cp:lastModifiedBy>
  <cp:revision>30</cp:revision>
  <dcterms:created xsi:type="dcterms:W3CDTF">2025-03-11T18:22:00Z</dcterms:created>
  <dcterms:modified xsi:type="dcterms:W3CDTF">2025-03-11T18:50:00Z</dcterms:modified>
</cp:coreProperties>
</file>